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4B70C5">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4B70C5">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4B70C5">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4B70C5">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4B70C5">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4B70C5">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4B70C5">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4B70C5">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4B70C5">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4B70C5">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4B70C5">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4B70C5">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4B70C5">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4B70C5"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4B70C5">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4B70C5">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4B70C5">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4B70C5">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4B70C5">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4B70C5">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4B70C5">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4B70C5">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4B70C5">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4B70C5">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4B70C5">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4B70C5">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4B70C5">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4B70C5">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4B70C5">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4B70C5">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4B70C5">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4B70C5">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4B70C5">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4B70C5">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4B70C5">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4B70C5">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4B70C5">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4B70C5">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4B70C5">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4B70C5">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4B70C5">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4B70C5">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4B70C5">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4B70C5">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4B70C5">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4B70C5">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4B70C5">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4B70C5">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4B70C5">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4B70C5">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4B70C5">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4B70C5"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4B70C5"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4B70C5"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4B70C5">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4B70C5">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4B70C5">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4B70C5">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4B70C5">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4B70C5">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4B70C5">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4B70C5">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4B70C5">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4B70C5">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4B70C5">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4B70C5">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4B70C5">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4B70C5">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4B70C5">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4B70C5">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4B70C5">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4B70C5">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4B70C5">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4B70C5">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4B70C5">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4B70C5">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4B70C5">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4B70C5">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4B70C5">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4B70C5">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4B70C5"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4B70C5"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t xml:space="preserve">4 часа </w:t>
            </w:r>
          </w:p>
          <w:p w14:paraId="35C10750" w14:textId="77777777" w:rsidR="00462D24" w:rsidRPr="00517ED6" w:rsidRDefault="00462D24" w:rsidP="00F41E42">
            <w:pPr>
              <w:tabs>
                <w:tab w:val="left" w:pos="4088"/>
              </w:tabs>
              <w:jc w:val="center"/>
              <w:rPr>
                <w:b/>
                <w:iCs/>
              </w:rPr>
            </w:pPr>
            <w:r>
              <w:rPr>
                <w:b/>
                <w:iCs/>
              </w:rPr>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4F23AC00" w:rsidR="00291881" w:rsidRPr="00AB75D0" w:rsidRDefault="004B70C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5F6B9BE2" wp14:editId="044466AD">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2889"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20D53E33" w:rsidR="00291881" w:rsidRPr="00AB75D0" w:rsidRDefault="004B70C5"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70C868F9" wp14:editId="7FBD6B95">
                <wp:simplePos x="0" y="0"/>
                <wp:positionH relativeFrom="column">
                  <wp:posOffset>1270</wp:posOffset>
                </wp:positionH>
                <wp:positionV relativeFrom="paragraph">
                  <wp:posOffset>79375</wp:posOffset>
                </wp:positionV>
                <wp:extent cx="213995" cy="213995"/>
                <wp:effectExtent l="0" t="0" r="14605" b="14605"/>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1A9FC2"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1C927DC8" w:rsidR="00291881" w:rsidRPr="00AB75D0" w:rsidRDefault="004B70C5"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0C13384E" wp14:editId="282E8AE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51FB92"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08CC1EC9" w:rsidR="00291881" w:rsidRPr="00AB75D0" w:rsidRDefault="004B70C5" w:rsidP="00A95C7D">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03995E37" wp14:editId="5B8141F4">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C8232"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60505718" w:rsidR="00291881" w:rsidRPr="00AB75D0" w:rsidRDefault="004B70C5"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3CDADA7B" wp14:editId="2D2ADC4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43A0BB"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32FC6339" wp14:editId="6A16F80C">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ACA59"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17774093" wp14:editId="14C87561">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6383B3"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7E6ADCCC" w14:textId="71319D63" w:rsidR="00291881" w:rsidRPr="00AB75D0" w:rsidRDefault="004B70C5"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54F50A16" wp14:editId="57D067F9">
                <wp:simplePos x="0" y="0"/>
                <wp:positionH relativeFrom="column">
                  <wp:posOffset>635</wp:posOffset>
                </wp:positionH>
                <wp:positionV relativeFrom="paragraph">
                  <wp:posOffset>259714</wp:posOffset>
                </wp:positionV>
                <wp:extent cx="6158865" cy="0"/>
                <wp:effectExtent l="0" t="0" r="32385" b="1905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9E6408"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mc:Fallback>
        </mc:AlternateConten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8DDA5"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06C6" w14:textId="77777777" w:rsidR="00873747" w:rsidRDefault="00873747" w:rsidP="000F30D0">
      <w:r>
        <w:separator/>
      </w:r>
    </w:p>
  </w:endnote>
  <w:endnote w:type="continuationSeparator" w:id="0">
    <w:p w14:paraId="418B7F67" w14:textId="77777777" w:rsidR="00873747" w:rsidRDefault="00873747" w:rsidP="000F30D0">
      <w:r>
        <w:continuationSeparator/>
      </w:r>
    </w:p>
  </w:endnote>
  <w:endnote w:type="continuationNotice" w:id="1">
    <w:p w14:paraId="5B3AD49F" w14:textId="77777777" w:rsidR="00873747" w:rsidRDefault="0087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00620"/>
      <w:docPartObj>
        <w:docPartGallery w:val="Page Numbers (Bottom of Page)"/>
        <w:docPartUnique/>
      </w:docPartObj>
    </w:sdtPr>
    <w:sdtEndPr/>
    <w:sdtContent>
      <w:p w14:paraId="4A736A06" w14:textId="77777777" w:rsidR="00873747" w:rsidRDefault="00873747">
        <w:pPr>
          <w:pStyle w:val="af4"/>
          <w:jc w:val="right"/>
        </w:pPr>
        <w:r>
          <w:fldChar w:fldCharType="begin"/>
        </w:r>
        <w:r>
          <w:instrText>PAGE   \* MERGEFORMAT</w:instrText>
        </w:r>
        <w:r>
          <w:fldChar w:fldCharType="separate"/>
        </w:r>
        <w:r w:rsidR="004B70C5">
          <w:rPr>
            <w:noProof/>
          </w:rPr>
          <w:t>59</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D602" w14:textId="77777777" w:rsidR="00873747" w:rsidRDefault="00873747" w:rsidP="000F30D0">
      <w:r>
        <w:separator/>
      </w:r>
    </w:p>
  </w:footnote>
  <w:footnote w:type="continuationSeparator" w:id="0">
    <w:p w14:paraId="1C46628C" w14:textId="77777777" w:rsidR="00873747" w:rsidRDefault="00873747" w:rsidP="000F30D0">
      <w:r>
        <w:continuationSeparator/>
      </w:r>
    </w:p>
  </w:footnote>
  <w:footnote w:type="continuationNotice" w:id="1">
    <w:p w14:paraId="41675324" w14:textId="77777777" w:rsidR="00873747" w:rsidRDefault="00873747"/>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0C5"/>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C783818-ABBF-4FAF-827D-0CFEF8A1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2.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3.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4.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5.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6.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customXml/itemProps7.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8.xml><?xml version="1.0" encoding="utf-8"?>
<ds:datastoreItem xmlns:ds="http://schemas.openxmlformats.org/officeDocument/2006/customXml" ds:itemID="{38060A7D-2DBC-49CE-BF8D-E6C39D8BFE83}">
  <ds:schemaRefs>
    <ds:schemaRef ds:uri="http://schemas.openxmlformats.org/officeDocument/2006/bibliography"/>
  </ds:schemaRefs>
</ds:datastoreItem>
</file>

<file path=customXml/itemProps9.xml><?xml version="1.0" encoding="utf-8"?>
<ds:datastoreItem xmlns:ds="http://schemas.openxmlformats.org/officeDocument/2006/customXml" ds:itemID="{DAEB6C60-4195-42FC-911F-C4DCC269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Пользователь Windows</cp:lastModifiedBy>
  <cp:revision>2</cp:revision>
  <cp:lastPrinted>2019-11-22T14:10:00Z</cp:lastPrinted>
  <dcterms:created xsi:type="dcterms:W3CDTF">2019-12-19T04:29:00Z</dcterms:created>
  <dcterms:modified xsi:type="dcterms:W3CDTF">2019-12-19T04:29:00Z</dcterms:modified>
</cp:coreProperties>
</file>